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14ECA6B0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8D2C1F">
        <w:rPr>
          <w:b/>
          <w:sz w:val="36"/>
          <w:szCs w:val="36"/>
        </w:rPr>
        <w:t xml:space="preserve"> </w:t>
      </w:r>
      <w:r w:rsidR="003E01AD">
        <w:rPr>
          <w:b/>
          <w:sz w:val="36"/>
          <w:szCs w:val="36"/>
        </w:rPr>
        <w:t xml:space="preserve">2.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72BFE6E3" w:rsidR="0062094F" w:rsidRDefault="00BB5FF0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pn.</w:t>
      </w:r>
      <w:r w:rsidR="002F5CBE">
        <w:rPr>
          <w:b/>
          <w:sz w:val="36"/>
          <w:szCs w:val="36"/>
        </w:rPr>
        <w:t xml:space="preserve"> </w:t>
      </w:r>
      <w:r w:rsidR="000116AD" w:rsidRPr="00700129">
        <w:rPr>
          <w:b/>
          <w:sz w:val="36"/>
          <w:szCs w:val="36"/>
        </w:rPr>
        <w:t>„</w:t>
      </w:r>
      <w:r w:rsidR="005367BD">
        <w:rPr>
          <w:b/>
          <w:sz w:val="36"/>
          <w:szCs w:val="36"/>
        </w:rPr>
        <w:t>Akademia przedsiębiorczości</w:t>
      </w:r>
      <w:r w:rsidR="00B07A5E">
        <w:rPr>
          <w:b/>
          <w:sz w:val="36"/>
          <w:szCs w:val="36"/>
        </w:rPr>
        <w:t xml:space="preserve"> </w:t>
      </w:r>
      <w:r w:rsidR="00121B9F">
        <w:rPr>
          <w:b/>
          <w:sz w:val="36"/>
          <w:szCs w:val="36"/>
        </w:rPr>
        <w:t>2</w:t>
      </w:r>
      <w:r w:rsidR="000116AD" w:rsidRPr="00700129">
        <w:rPr>
          <w:b/>
          <w:sz w:val="36"/>
          <w:szCs w:val="36"/>
        </w:rPr>
        <w:t>”</w:t>
      </w:r>
    </w:p>
    <w:p w14:paraId="25B7DC69" w14:textId="20CA2B54" w:rsidR="005B292E" w:rsidRPr="005B292E" w:rsidRDefault="005B292E" w:rsidP="00B24CB2">
      <w:pPr>
        <w:spacing w:before="120" w:after="0" w:line="240" w:lineRule="auto"/>
        <w:jc w:val="center"/>
        <w:rPr>
          <w:b/>
          <w:sz w:val="24"/>
          <w:szCs w:val="24"/>
        </w:rPr>
      </w:pPr>
      <w:r w:rsidRPr="005B292E">
        <w:rPr>
          <w:b/>
          <w:sz w:val="24"/>
          <w:szCs w:val="24"/>
        </w:rPr>
        <w:t>Regionalny Program Operacyjny Województwa Pomorskiego na lata 2014-2020</w:t>
      </w:r>
    </w:p>
    <w:p w14:paraId="4C6BB38A" w14:textId="03043F15" w:rsidR="008D2C1F" w:rsidRDefault="005B292E" w:rsidP="004355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</w:rPr>
        <w:t>Osi priorytetowej 05.</w:t>
      </w:r>
      <w:r w:rsidR="004355DE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atrudnienie</w:t>
      </w:r>
      <w:r w:rsidR="004355DE">
        <w:rPr>
          <w:rFonts w:ascii="Arial" w:hAnsi="Arial" w:cs="Arial"/>
          <w:b/>
        </w:rPr>
        <w:t>, Działanie 05.07 Nowe mikroprzedsiębiorstwa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C2176D">
        <w:trPr>
          <w:trHeight w:val="946"/>
        </w:trPr>
        <w:tc>
          <w:tcPr>
            <w:tcW w:w="4106" w:type="dxa"/>
            <w:shd w:val="clear" w:color="auto" w:fill="FFD966" w:themeFill="accent4" w:themeFillTint="99"/>
          </w:tcPr>
          <w:p w14:paraId="71F22052" w14:textId="6AF34809" w:rsidR="00C2176D" w:rsidRPr="00C2176D" w:rsidRDefault="008D2C1F" w:rsidP="00C21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Termin </w:t>
            </w:r>
            <w:r w:rsidR="009E5290">
              <w:rPr>
                <w:b/>
                <w:sz w:val="24"/>
                <w:szCs w:val="24"/>
              </w:rPr>
              <w:t xml:space="preserve">2. </w:t>
            </w:r>
            <w:r w:rsidRPr="00B24CB2">
              <w:rPr>
                <w:b/>
                <w:sz w:val="24"/>
                <w:szCs w:val="24"/>
              </w:rPr>
              <w:t>rekrutacji:</w:t>
            </w:r>
          </w:p>
          <w:p w14:paraId="0C1FB3F8" w14:textId="1A7EAE72" w:rsidR="00C2176D" w:rsidRPr="00C2176D" w:rsidRDefault="00C2176D" w:rsidP="00C217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35253E2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5B5B82D3" w:rsidR="00B90506" w:rsidRPr="008D2C1F" w:rsidRDefault="0001717B" w:rsidP="00C21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19 luty 2021 r. w godzinach 8:30 do 15:30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7884329D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</w:t>
            </w:r>
            <w:r w:rsidR="006068A6">
              <w:rPr>
                <w:b/>
                <w:sz w:val="24"/>
                <w:szCs w:val="24"/>
              </w:rPr>
              <w:t xml:space="preserve">przyjęcia liczba uczestników </w:t>
            </w:r>
            <w:r w:rsidR="0001717B">
              <w:rPr>
                <w:b/>
                <w:sz w:val="24"/>
                <w:szCs w:val="24"/>
              </w:rPr>
              <w:t>projektów w ramach II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4F681F64" w14:textId="60B6B0EB" w:rsidR="008D2C1F" w:rsidRDefault="008D2C1F" w:rsidP="00B90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C55F64" w14:textId="77777777" w:rsidR="006068A6" w:rsidRDefault="0001717B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Maksymalnie 29 osób</w:t>
            </w:r>
          </w:p>
          <w:p w14:paraId="4B59214A" w14:textId="15B11027" w:rsidR="0001717B" w:rsidRPr="008D2C1F" w:rsidRDefault="0001717B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0121533" w14:textId="734330FC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posiada miejsce zamieszkania</w:t>
            </w:r>
            <w:r w:rsidRPr="002F5C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 (w rozumieniu przepisów Kodeksu cywilnego) na obszarze jednej z następujących gmin powiatu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>słupskiego</w:t>
            </w: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Damnica, Dębnica Kaszubska, </w:t>
            </w:r>
            <w:r w:rsidR="002F5CBE"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Główczyce,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Kępice, Potęgowo, Słupsk (gmina wiejska), Smołdzino lub </w:t>
            </w:r>
            <w:r w:rsidR="003E01AD">
              <w:rPr>
                <w:rFonts w:asciiTheme="minorHAnsi" w:hAnsiTheme="minorHAnsi" w:cstheme="minorHAnsi"/>
                <w:sz w:val="24"/>
                <w:szCs w:val="24"/>
              </w:rPr>
              <w:t>na obszarze gminy Cewice z po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>wiatu lęborskiego</w:t>
            </w:r>
          </w:p>
          <w:p w14:paraId="00C44B6E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nie była karana za przestępstwa skarbowe oraz korzysta z pełni praw publicznych i posiada pełną zdolność do czynności prawnych;</w:t>
            </w:r>
          </w:p>
          <w:p w14:paraId="058E5EDB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dostarczy kompletne dokumenty rekrutacyjne w terminach rekrutacji do projektu;</w:t>
            </w:r>
          </w:p>
          <w:p w14:paraId="41D9AB43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jest osobą bezrobotną (zarejestrowaną w ewidencji osób bezrobotnych prowadzonych przez urząd pracy bądź niezarejestrowaną w urzędzie pracy) </w:t>
            </w:r>
          </w:p>
          <w:p w14:paraId="568BF50D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ma co najmniej 30 lat (od dnia 30. urodzin);</w:t>
            </w:r>
          </w:p>
          <w:p w14:paraId="5244C7CB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nie posiadała wpisu do Centralnej Ewidencji i Informacji o Działalności Gospodarczej (CEIDG), nie była zarejestrowane jako przedsiębiorcy w Krajowym Rejestrze Sądowym (KRS), nie 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prowadziła działalności gospodarczej na podstawie odrębnych przepisów w okresie 12 miesięcy poprzedzających dzień zgłoszenia i przystąpienia do projektu;</w:t>
            </w:r>
          </w:p>
          <w:p w14:paraId="33B188F2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zawiesiła lub nie miała zawieszonej działalności gospodarczej na podstawie przepisów o CEIDG lub KRS w okresie 12 miesięcy poprzedzających dzień zgłoszenia i przystąpienia do projektu;</w:t>
            </w:r>
          </w:p>
          <w:p w14:paraId="3CDF695B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42032547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korzysta równolegle z innych środków publicznych,</w:t>
            </w:r>
            <w:r w:rsidRPr="00C163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w tym zwłaszcza ze środków Funduszu Pracy, PFRON oraz środków oferowanych w ramach RPO WP 2014-2020, POWER, PROW 2014-2020 na pokrycie tych samych wydatków związanych z podjęciem oraz prowadzeniem działalności gospodarczej; </w:t>
            </w:r>
          </w:p>
          <w:bookmarkEnd w:id="0"/>
          <w:p w14:paraId="61D99FCC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zamierza założyć rolniczej działalności gospodarczej i równocześnie podlegać ubezpieczeniu społecznemu rolników zgodnie z ustawą z dnia 20 grudnia 1990 r. o ubezpieczeniu społecznym rolników;</w:t>
            </w:r>
          </w:p>
          <w:p w14:paraId="74D449D8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zamierza założyć działalności komorniczej zgodnie z ustawa z dnia 22 marca 2018 r. o komornikach sądowych;</w:t>
            </w:r>
          </w:p>
          <w:p w14:paraId="0F21E386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42032607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nie pozostaje w stosunku do Prywatnego Centrum Edukacyjnego „Marmołowski” s.c. Alicja Marmołowska, Ewa Marmołowska w związku mogącym naruszyć zasady bezstronności w procesie rekrutacji i oceny wniosków, w szczególności osoby, które nie są lub nie były zatrudnione u Beneficjenta (tj. Prywatne Centrum Edukacyjne „Marmołowski” s.c. Alicja Marmołowska, Ewa Marmołowska) w ciągu ostatnich 2 lat oraz osoby, które nie łączy lub nie łączył z Alicją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Marmołowską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 lub Ewą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Marmołowską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, podmiotami realizującymi, wykonawcami lub pracownikiem Beneficjenta uczestniczącym w procesie rekrutacji i oceny wniosków o udzielnie wsparcia finansowego na rozpoczęcie działalności gospodarczej:</w:t>
            </w:r>
          </w:p>
          <w:p w14:paraId="22224F7E" w14:textId="77777777" w:rsidR="005B292E" w:rsidRPr="00C163E3" w:rsidRDefault="005B292E" w:rsidP="005B292E">
            <w:pPr>
              <w:numPr>
                <w:ilvl w:val="0"/>
                <w:numId w:val="12"/>
              </w:num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związek małżeński, stosunek pokrewieństwa i powinowactwa (w linii prostej lub bocznej do II stopnia)</w:t>
            </w:r>
          </w:p>
          <w:p w14:paraId="19505703" w14:textId="77777777" w:rsidR="005B292E" w:rsidRPr="00C163E3" w:rsidRDefault="005B292E" w:rsidP="005B292E">
            <w:p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i/lub</w:t>
            </w:r>
          </w:p>
          <w:p w14:paraId="3A26D772" w14:textId="77777777" w:rsidR="005B292E" w:rsidRPr="00C163E3" w:rsidRDefault="005B292E" w:rsidP="005B292E">
            <w:pPr>
              <w:numPr>
                <w:ilvl w:val="0"/>
                <w:numId w:val="12"/>
              </w:num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związek z tytułu przysposobienia, opieki lub kurateli;</w:t>
            </w:r>
          </w:p>
          <w:bookmarkEnd w:id="1"/>
          <w:p w14:paraId="7F240395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są karane karą zakazu dostępu do środków, o których mowa w art. 5 ust. 3 pkt 1 i 4 ustawy z dnia 27 sierpnia 2009 r. o finansach publicznych (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t.j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. Dz. U.  z 2019 r. poz. 869, ze zm.);</w:t>
            </w:r>
          </w:p>
          <w:p w14:paraId="23AA5CCC" w14:textId="2350D39D" w:rsidR="005B292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posiada</w:t>
            </w:r>
            <w:r w:rsidR="003E01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zajęcia komorniczego z tytułu obowiązku alimentacyjnego;</w:t>
            </w:r>
          </w:p>
          <w:p w14:paraId="75DBCD58" w14:textId="6AA4CAA1" w:rsidR="003E01AD" w:rsidRPr="003E01AD" w:rsidRDefault="003E01AD" w:rsidP="003E01AD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nie jest uczestnikiem innego projektu oraz nie złożył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dokumentów rekrutacyjnych do innego projektu, którego celem jest uzyskanie środków publicznych i/lub unijnych na rozpoczęcie działalności gospodarczej, oraz zobowią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że 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się, że do czasu uzyskania informacji o niezakwalifikowaniu do projektu albo zakwalifikowaniu do projektu oraz zakończenia udziału w projekcie nie złoż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dokumentów rekrutacyjnych do innego projektu, którego celem jest uzyskanie środków publicznych i/lub unijnych na rozpoczęcie działalności gospodarczej;</w:t>
            </w:r>
          </w:p>
          <w:p w14:paraId="53F234B1" w14:textId="69116338" w:rsidR="005B292E" w:rsidRDefault="005B292E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otrzymała bezzwrotnego wsparcia finansowego na otwarcie działalności gospodarczej ze środków unijnych z perspektywy unijnej 2014-2020;</w:t>
            </w:r>
          </w:p>
          <w:p w14:paraId="0DDC5ED1" w14:textId="0138BDE6" w:rsidR="005B292E" w:rsidRDefault="005B292E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złoży oświadczenie o zapoznaniu się z </w:t>
            </w:r>
            <w:r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Regulamin rekrutacji uczestników projektu w związku z przyznawaniem środków finansowych na rozwój przedsiębiorczości w ramach projektu pn. „</w:t>
            </w:r>
            <w:r w:rsidR="002F5CBE"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Akademia przedsiębiorczości </w:t>
            </w:r>
            <w:r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2”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2" w:name="_Hlk42032882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oraz </w:t>
            </w:r>
            <w:r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Regulaminem przyznawania wsparcia w postaci szkoleń oraz środków finansowych na rozwój przedsiębiorczości w ramach projektu „</w:t>
            </w:r>
            <w:r w:rsidR="002F5CBE"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Akademia przedsiębiorczości </w:t>
            </w:r>
            <w:r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2” </w:t>
            </w:r>
            <w:bookmarkEnd w:id="2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i akceptacji warunków w nich zawartych;</w:t>
            </w:r>
          </w:p>
          <w:p w14:paraId="5A2E3CB5" w14:textId="3FFFC116" w:rsidR="005B292E" w:rsidRDefault="005B292E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złoży oświadczenie o prawdziwości danych zawartych w formularzu zgłoszeniowym do projektu;</w:t>
            </w:r>
          </w:p>
          <w:p w14:paraId="3ADBE237" w14:textId="1B9FE188" w:rsidR="005B292E" w:rsidRDefault="005B292E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42078892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nie jest i nie była wcześniej uczestnikiem projektu „</w:t>
            </w:r>
            <w:r w:rsidR="002F5CBE" w:rsidRPr="003E01AD">
              <w:rPr>
                <w:rFonts w:asciiTheme="minorHAnsi" w:hAnsiTheme="minorHAnsi" w:cstheme="minorHAnsi"/>
                <w:sz w:val="24"/>
                <w:szCs w:val="24"/>
              </w:rPr>
              <w:t>Akademia przedsiębiorczości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2”</w:t>
            </w:r>
          </w:p>
          <w:p w14:paraId="41EED5AA" w14:textId="76E8F715" w:rsidR="003E01AD" w:rsidRDefault="003E01AD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nie planuj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rozpocząć i prowadzić działalności gospodarczej w sektorach wykluczonych z uzyskania wsparcia oraz nie planuję przeznaczyć udzielonego wsparcia finansowego na pokrycie wydatków wykluczonych mając na uwadze zapisy rozporządzenia Komisji (UE) nr 1407/2013 z dnia 18 grudnia 2013 r. w sprawie stosowania art. 107 i 108 Traktatu o 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funkcjonowaniu Unii Europejskiej do pomocy de </w:t>
            </w:r>
            <w:proofErr w:type="spellStart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(Dz. Urz. UE L nr 352 z 24.12.2013 r.) </w:t>
            </w:r>
          </w:p>
          <w:p w14:paraId="0287A9D0" w14:textId="4E3BE243" w:rsidR="003E01AD" w:rsidRDefault="003E01AD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w związku z uzyskaniem pomocy w ramach projektu nie przekrocz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podatkowych</w:t>
            </w:r>
          </w:p>
          <w:p w14:paraId="23225E2F" w14:textId="2B2576F1" w:rsidR="008D2C1F" w:rsidRPr="003E01AD" w:rsidRDefault="003E01AD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z własnej inicjatywy zamierza rozpocząć prowadzenie działalności gospodarczej ze stałym miejscem wykonywania/siedzibą na terenie województwa pomorskiego lub w przypadku nie wskazania miejsca prowadzenia działalności gospodarczej w rejestrze, zobowią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że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się umożliwić Beneficjentowi przeprowadzenie kontroli prowadzonej działalności na terenie województwa pomorskiego</w:t>
            </w:r>
            <w:bookmarkEnd w:id="3"/>
          </w:p>
        </w:tc>
      </w:tr>
      <w:tr w:rsidR="008D2C1F" w:rsidRPr="00C163E3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97296A1" w14:textId="77777777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w wieku 50 lat i więcej;</w:t>
            </w:r>
          </w:p>
          <w:p w14:paraId="0C09502B" w14:textId="77777777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Kobiety;</w:t>
            </w:r>
          </w:p>
          <w:p w14:paraId="5C554581" w14:textId="262697D9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z niepełnosprawnościami;</w:t>
            </w:r>
          </w:p>
          <w:p w14:paraId="4E58556E" w14:textId="3F25BF3F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długotrwale bezrobotne;</w:t>
            </w:r>
          </w:p>
          <w:p w14:paraId="676B8C22" w14:textId="78F737D4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o niskich kwalifikacjach, tj. posiadające wykształcenie max. ponadgimnazjalne włącznie.</w:t>
            </w:r>
          </w:p>
          <w:p w14:paraId="790B21EE" w14:textId="07578624" w:rsidR="00B24CB2" w:rsidRPr="00C163E3" w:rsidRDefault="00B24CB2" w:rsidP="006068A6">
            <w:pPr>
              <w:pStyle w:val="Akapitzlist"/>
              <w:spacing w:after="0" w:line="240" w:lineRule="auto"/>
              <w:ind w:left="7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6FFDDDA9" w14:textId="10AC08FF" w:rsidR="008D2C1F" w:rsidRPr="0001717B" w:rsidRDefault="00AF45EF" w:rsidP="000171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6068A6">
              <w:rPr>
                <w:rFonts w:cs="Arial"/>
                <w:iCs/>
                <w:sz w:val="24"/>
                <w:szCs w:val="24"/>
              </w:rPr>
              <w:t>http://marmolowski.pl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341FC4B6" w:rsidR="00AF45EF" w:rsidRPr="00C163E3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63E3">
              <w:rPr>
                <w:sz w:val="24"/>
                <w:szCs w:val="24"/>
              </w:rPr>
              <w:t xml:space="preserve">W wersji papierowej w biurze projektu przy </w:t>
            </w:r>
            <w:r w:rsidR="00AC3BFF" w:rsidRPr="00C163E3">
              <w:rPr>
                <w:sz w:val="24"/>
                <w:szCs w:val="24"/>
              </w:rPr>
              <w:t xml:space="preserve">ul. Zaułek </w:t>
            </w:r>
            <w:proofErr w:type="spellStart"/>
            <w:r w:rsidR="00AC3BFF" w:rsidRPr="00C163E3">
              <w:rPr>
                <w:sz w:val="24"/>
                <w:szCs w:val="24"/>
              </w:rPr>
              <w:t>Drozdowy</w:t>
            </w:r>
            <w:proofErr w:type="spellEnd"/>
            <w:r w:rsidR="00AC3BFF" w:rsidRPr="00C163E3">
              <w:rPr>
                <w:sz w:val="24"/>
                <w:szCs w:val="24"/>
              </w:rPr>
              <w:t xml:space="preserve"> 2, 77-100 Bytów</w:t>
            </w:r>
            <w:r w:rsidRPr="00C163E3">
              <w:rPr>
                <w:sz w:val="24"/>
                <w:szCs w:val="24"/>
              </w:rPr>
              <w:t xml:space="preserve"> </w:t>
            </w:r>
            <w:r w:rsidR="0001717B">
              <w:rPr>
                <w:sz w:val="24"/>
                <w:szCs w:val="24"/>
              </w:rPr>
              <w:t>oraz punkcie obsługi uczestników przy ul. Szczecińskiej 57, 76-200 Słupsk</w:t>
            </w:r>
          </w:p>
          <w:p w14:paraId="0A5D251B" w14:textId="405E871E" w:rsidR="00B24CB2" w:rsidRPr="00C163E3" w:rsidRDefault="00AF45EF" w:rsidP="006068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163E3">
              <w:rPr>
                <w:sz w:val="24"/>
                <w:szCs w:val="24"/>
              </w:rPr>
              <w:lastRenderedPageBreak/>
              <w:t>W wersji elektronicznej w formacie PDF i DOC na stronie pod adresem:</w:t>
            </w:r>
            <w:r w:rsidR="00B24CB2" w:rsidRPr="00C163E3">
              <w:rPr>
                <w:sz w:val="24"/>
                <w:szCs w:val="24"/>
              </w:rPr>
              <w:t xml:space="preserve"> </w:t>
            </w:r>
            <w:hyperlink r:id="rId11" w:history="1">
              <w:r w:rsidR="0001717B" w:rsidRPr="00C93D0B">
                <w:rPr>
                  <w:rStyle w:val="Hipercze"/>
                  <w:sz w:val="24"/>
                  <w:szCs w:val="24"/>
                </w:rPr>
                <w:t>http://marmolowski.pl/projekty-unijne/akademia-przedsiebiorczosci-2/</w:t>
              </w:r>
            </w:hyperlink>
            <w:r w:rsidR="0001717B">
              <w:rPr>
                <w:sz w:val="24"/>
                <w:szCs w:val="24"/>
              </w:rPr>
              <w:t xml:space="preserve"> </w:t>
            </w: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01B5E608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</w:t>
            </w:r>
            <w:r w:rsidR="006068A6" w:rsidRPr="00AF45EF">
              <w:rPr>
                <w:sz w:val="24"/>
                <w:szCs w:val="24"/>
              </w:rPr>
              <w:t xml:space="preserve"> formularzy zgłoszeniowych</w:t>
            </w:r>
            <w:r w:rsidR="006068A6">
              <w:rPr>
                <w:sz w:val="24"/>
                <w:szCs w:val="24"/>
              </w:rPr>
              <w:t xml:space="preserve">, </w:t>
            </w:r>
            <w:r w:rsidRPr="00AF45EF">
              <w:rPr>
                <w:sz w:val="24"/>
                <w:szCs w:val="24"/>
              </w:rPr>
              <w:t>merytoryczna</w:t>
            </w:r>
            <w:r w:rsidR="006068A6">
              <w:rPr>
                <w:sz w:val="24"/>
                <w:szCs w:val="24"/>
              </w:rPr>
              <w:t xml:space="preserve"> (ocena formularzy zgłoszeniowych, rozmowa z doradca zawodowym ora</w:t>
            </w:r>
            <w:r w:rsidR="00D62C64">
              <w:rPr>
                <w:sz w:val="24"/>
                <w:szCs w:val="24"/>
              </w:rPr>
              <w:t>z</w:t>
            </w:r>
            <w:r w:rsidR="006068A6">
              <w:rPr>
                <w:sz w:val="24"/>
                <w:szCs w:val="24"/>
              </w:rPr>
              <w:t xml:space="preserve"> komisją Rekrutacyjną) i ocena preferencji</w:t>
            </w:r>
            <w:r w:rsidRPr="00AF45EF">
              <w:rPr>
                <w:sz w:val="24"/>
                <w:szCs w:val="24"/>
              </w:rPr>
              <w:t xml:space="preserve"> </w:t>
            </w:r>
            <w:r w:rsidR="006068A6">
              <w:rPr>
                <w:sz w:val="24"/>
                <w:szCs w:val="24"/>
              </w:rPr>
              <w:t>(o ile dotyczy)</w:t>
            </w:r>
          </w:p>
          <w:p w14:paraId="5C8D763A" w14:textId="331DEBFD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 xml:space="preserve">i ich ogłoszenie na stronie </w:t>
            </w:r>
            <w:r w:rsidR="006068A6">
              <w:rPr>
                <w:sz w:val="24"/>
                <w:szCs w:val="24"/>
              </w:rPr>
              <w:t>internetowej projektu oraz w biurze projektu;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2"/>
      <w:footerReference w:type="default" r:id="rId13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41DF" w14:textId="77777777" w:rsidR="0086193D" w:rsidRDefault="0086193D" w:rsidP="0036087D">
      <w:pPr>
        <w:spacing w:after="0" w:line="240" w:lineRule="auto"/>
      </w:pPr>
      <w:r>
        <w:separator/>
      </w:r>
    </w:p>
  </w:endnote>
  <w:endnote w:type="continuationSeparator" w:id="0">
    <w:p w14:paraId="67921BDD" w14:textId="77777777" w:rsidR="0086193D" w:rsidRDefault="0086193D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3C7297AA" w:rsidR="00C95431" w:rsidRDefault="006068A6" w:rsidP="00C916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312CBA" wp14:editId="608D987C">
          <wp:extent cx="2639695" cy="63373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F2D49" w14:textId="77777777" w:rsidR="0086193D" w:rsidRDefault="0086193D" w:rsidP="0036087D">
      <w:pPr>
        <w:spacing w:after="0" w:line="240" w:lineRule="auto"/>
      </w:pPr>
      <w:r>
        <w:separator/>
      </w:r>
    </w:p>
  </w:footnote>
  <w:footnote w:type="continuationSeparator" w:id="0">
    <w:p w14:paraId="00ABEE9B" w14:textId="77777777" w:rsidR="0086193D" w:rsidRDefault="0086193D" w:rsidP="0036087D">
      <w:pPr>
        <w:spacing w:after="0" w:line="240" w:lineRule="auto"/>
      </w:pPr>
      <w:r>
        <w:continuationSeparator/>
      </w:r>
    </w:p>
  </w:footnote>
  <w:footnote w:id="1">
    <w:p w14:paraId="2082387E" w14:textId="77777777" w:rsidR="005B292E" w:rsidRPr="005F3B31" w:rsidRDefault="005B292E" w:rsidP="005B29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97243">
        <w:rPr>
          <w:rStyle w:val="Odwoanieprzypisudolnego"/>
          <w:rFonts w:cs="Calibri"/>
        </w:rPr>
        <w:footnoteRef/>
      </w:r>
      <w:r w:rsidRPr="00797243">
        <w:rPr>
          <w:rFonts w:cs="Calibri"/>
          <w:sz w:val="20"/>
          <w:szCs w:val="20"/>
        </w:rPr>
        <w:t xml:space="preserve"> Art. 25 Kodeksu cywilnego stanowi, iż „</w:t>
      </w:r>
      <w:r w:rsidRPr="00797243">
        <w:rPr>
          <w:rFonts w:cs="Calibri"/>
          <w:sz w:val="20"/>
          <w:szCs w:val="20"/>
          <w:lang w:eastAsia="pl-PL"/>
        </w:rPr>
        <w:t>Miejscem zamieszkania osoby fizycznej jest miejscowość, w której osoba ta przebywa z zamiarem stałego pobytu”</w:t>
      </w:r>
      <w:r w:rsidRPr="005F3B31">
        <w:rPr>
          <w:rFonts w:cs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74FA8420" w:rsidR="000116AD" w:rsidRDefault="00121B9F" w:rsidP="00121B9F">
    <w:pPr>
      <w:pStyle w:val="Nagwek"/>
    </w:pPr>
    <w:r>
      <w:rPr>
        <w:noProof/>
      </w:rPr>
      <w:drawing>
        <wp:inline distT="0" distB="0" distL="0" distR="0" wp14:anchorId="49ABC12D" wp14:editId="6C8959A2">
          <wp:extent cx="9593580" cy="645666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8013" cy="65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15B99"/>
    <w:multiLevelType w:val="hybridMultilevel"/>
    <w:tmpl w:val="5FD878A6"/>
    <w:lvl w:ilvl="0" w:tplc="10665EB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D2BCA"/>
    <w:multiLevelType w:val="multilevel"/>
    <w:tmpl w:val="4D508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21BED"/>
    <w:multiLevelType w:val="hybridMultilevel"/>
    <w:tmpl w:val="89A88E32"/>
    <w:lvl w:ilvl="0" w:tplc="326E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11319"/>
    <w:multiLevelType w:val="hybridMultilevel"/>
    <w:tmpl w:val="5FD878A6"/>
    <w:lvl w:ilvl="0" w:tplc="10665EB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A066E"/>
    <w:multiLevelType w:val="hybridMultilevel"/>
    <w:tmpl w:val="A9BC12A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4DC6775A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1717B"/>
    <w:rsid w:val="00062BDF"/>
    <w:rsid w:val="00075E2C"/>
    <w:rsid w:val="00081885"/>
    <w:rsid w:val="000A3BE4"/>
    <w:rsid w:val="000A4D15"/>
    <w:rsid w:val="000B2F74"/>
    <w:rsid w:val="000E7F14"/>
    <w:rsid w:val="00105499"/>
    <w:rsid w:val="00121576"/>
    <w:rsid w:val="00121B9F"/>
    <w:rsid w:val="00166B12"/>
    <w:rsid w:val="00196034"/>
    <w:rsid w:val="001B47AB"/>
    <w:rsid w:val="00201180"/>
    <w:rsid w:val="00263ADA"/>
    <w:rsid w:val="002A0E8C"/>
    <w:rsid w:val="002A7703"/>
    <w:rsid w:val="002C0EB5"/>
    <w:rsid w:val="002E19D1"/>
    <w:rsid w:val="002E7EE4"/>
    <w:rsid w:val="002F5CBE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3E01AD"/>
    <w:rsid w:val="004355DE"/>
    <w:rsid w:val="00453C3E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367BD"/>
    <w:rsid w:val="00551CBA"/>
    <w:rsid w:val="005571CF"/>
    <w:rsid w:val="00561693"/>
    <w:rsid w:val="0056608F"/>
    <w:rsid w:val="0059707E"/>
    <w:rsid w:val="005B292E"/>
    <w:rsid w:val="005C251B"/>
    <w:rsid w:val="005D5F56"/>
    <w:rsid w:val="006068A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36322"/>
    <w:rsid w:val="00740A54"/>
    <w:rsid w:val="00753539"/>
    <w:rsid w:val="00773BB4"/>
    <w:rsid w:val="007D5C19"/>
    <w:rsid w:val="008032FA"/>
    <w:rsid w:val="00806147"/>
    <w:rsid w:val="008508ED"/>
    <w:rsid w:val="0086193D"/>
    <w:rsid w:val="0088025A"/>
    <w:rsid w:val="008929C4"/>
    <w:rsid w:val="00896CD6"/>
    <w:rsid w:val="0089791B"/>
    <w:rsid w:val="008D2C1F"/>
    <w:rsid w:val="008E3292"/>
    <w:rsid w:val="00904EBE"/>
    <w:rsid w:val="00920A0B"/>
    <w:rsid w:val="00934AC4"/>
    <w:rsid w:val="00945802"/>
    <w:rsid w:val="00963AAA"/>
    <w:rsid w:val="00977D72"/>
    <w:rsid w:val="009973C9"/>
    <w:rsid w:val="009E0A73"/>
    <w:rsid w:val="009E5290"/>
    <w:rsid w:val="009E56FC"/>
    <w:rsid w:val="009F1304"/>
    <w:rsid w:val="00A077C9"/>
    <w:rsid w:val="00A14CAA"/>
    <w:rsid w:val="00A173DE"/>
    <w:rsid w:val="00A620EF"/>
    <w:rsid w:val="00A87B11"/>
    <w:rsid w:val="00AB05E0"/>
    <w:rsid w:val="00AC3BFF"/>
    <w:rsid w:val="00AF45EF"/>
    <w:rsid w:val="00B07A5E"/>
    <w:rsid w:val="00B24CB2"/>
    <w:rsid w:val="00B441CB"/>
    <w:rsid w:val="00B714D9"/>
    <w:rsid w:val="00B730DA"/>
    <w:rsid w:val="00B75102"/>
    <w:rsid w:val="00B90506"/>
    <w:rsid w:val="00BA03F7"/>
    <w:rsid w:val="00BA0A63"/>
    <w:rsid w:val="00BB5FF0"/>
    <w:rsid w:val="00BB6878"/>
    <w:rsid w:val="00BC2167"/>
    <w:rsid w:val="00BD7953"/>
    <w:rsid w:val="00BF02A8"/>
    <w:rsid w:val="00C163E3"/>
    <w:rsid w:val="00C2176D"/>
    <w:rsid w:val="00C502EE"/>
    <w:rsid w:val="00C86893"/>
    <w:rsid w:val="00C91685"/>
    <w:rsid w:val="00C95431"/>
    <w:rsid w:val="00D11F39"/>
    <w:rsid w:val="00D25D31"/>
    <w:rsid w:val="00D62C64"/>
    <w:rsid w:val="00D91C61"/>
    <w:rsid w:val="00DB0B6A"/>
    <w:rsid w:val="00DD22BC"/>
    <w:rsid w:val="00DE0395"/>
    <w:rsid w:val="00DE4EA8"/>
    <w:rsid w:val="00E136D2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molowski.pl/projekty-unijne/akademia-przedsiebiorczosci-2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8E11F289A4342A863C829980787F0" ma:contentTypeVersion="9" ma:contentTypeDescription="Create a new document." ma:contentTypeScope="" ma:versionID="85f0c9103f52e9693bce977a503c5dcf">
  <xsd:schema xmlns:xsd="http://www.w3.org/2001/XMLSchema" xmlns:xs="http://www.w3.org/2001/XMLSchema" xmlns:p="http://schemas.microsoft.com/office/2006/metadata/properties" xmlns:ns3="5213e018-e3f0-4ec1-ba4d-ffd434a71cec" targetNamespace="http://schemas.microsoft.com/office/2006/metadata/properties" ma:root="true" ma:fieldsID="0a92136f9431c47786e9c023da27edb9" ns3:_="">
    <xsd:import namespace="5213e018-e3f0-4ec1-ba4d-ffd434a71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3e018-e3f0-4ec1-ba4d-ffd434a71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E395B-FB5C-4310-B11C-EB0375D7C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54755-C1D3-4246-8C5A-8469338A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3e018-e3f0-4ec1-ba4d-ffd434a71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D8EC6-CC76-41CA-A115-7CE2185A6C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598314-7F76-482F-92BC-3FF669490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3</cp:revision>
  <cp:lastPrinted>2016-09-08T10:40:00Z</cp:lastPrinted>
  <dcterms:created xsi:type="dcterms:W3CDTF">2021-01-22T12:11:00Z</dcterms:created>
  <dcterms:modified xsi:type="dcterms:W3CDTF">2021-01-22T12:11:00Z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0x010100C8E8E11F289A4342A863C829980787F0</vt:lpwstr>
  </property>
</Properties>
</file>